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014A" w:rsidRDefault="003B4636" w:rsidP="001E37D5">
      <w:pPr>
        <w:rPr>
          <w:sz w:val="28"/>
          <w:szCs w:val="28"/>
        </w:rPr>
      </w:pPr>
      <w:r w:rsidRPr="003B4636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89.5pt;margin-top:4.9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>
              <w:txbxContent>
                <w:p w:rsidR="00D0328C" w:rsidRPr="00A607D8" w:rsidRDefault="00D0328C" w:rsidP="00A607D8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 _K</w:t>
                  </w:r>
                  <w:r w:rsidRPr="00A607D8">
                    <w:rPr>
                      <w:rFonts w:ascii="Arial" w:hAnsi="Arial" w:cs="Arial"/>
                      <w:b/>
                    </w:rPr>
                    <w:t>_</w:t>
                  </w:r>
                  <w:r>
                    <w:rPr>
                      <w:rFonts w:ascii="Arial" w:hAnsi="Arial" w:cs="Arial"/>
                      <w:b/>
                    </w:rPr>
                    <w:t>___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A607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715BC" w:rsidRDefault="003B4636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7" type="#_x0000_t202" style="position:absolute;margin-left:-6.75pt;margin-top:18pt;width:690pt;height:50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D0328C" w:rsidRDefault="00D0328C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MATHEMATICS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D0328C" w:rsidRPr="00A607D8" w:rsidRDefault="00D0328C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EXAMPLE TOPIC:  COMPARING</w:t>
                  </w:r>
                </w:p>
              </w:txbxContent>
            </v:textbox>
          </v:shape>
        </w:pic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FC44ED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FC44ED">
        <w:rPr>
          <w:rFonts w:ascii="Arial" w:hAnsi="Arial" w:cs="Arial"/>
          <w:b/>
        </w:rPr>
        <w:t>CCSS.Math.Content.K.CC.C.6</w:t>
      </w:r>
    </w:p>
    <w:p w:rsidR="00CC7A38" w:rsidRPr="00A44740" w:rsidRDefault="00FC4B34" w:rsidP="00A44740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FC44ED">
        <w:rPr>
          <w:rFonts w:ascii="Arial" w:hAnsi="Arial"/>
        </w:rPr>
        <w:t>Small Group—Grab and Count Compare</w:t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1A4950">
              <w:rPr>
                <w:rFonts w:ascii="Arial" w:hAnsi="Arial" w:cs="Arial"/>
                <w:b/>
                <w:kern w:val="24"/>
              </w:rPr>
              <w:t>Analyze</w:t>
            </w:r>
            <w:r w:rsidR="00EB69BF">
              <w:rPr>
                <w:rFonts w:ascii="Arial" w:hAnsi="Arial" w:cs="Arial"/>
                <w:b/>
                <w:kern w:val="24"/>
              </w:rPr>
              <w:t xml:space="preserve"> different quantities </w:t>
            </w:r>
            <w:r w:rsidR="001A4950">
              <w:rPr>
                <w:rFonts w:ascii="Arial" w:hAnsi="Arial" w:cs="Arial"/>
                <w:b/>
                <w:kern w:val="24"/>
              </w:rPr>
              <w:t xml:space="preserve">as more or less, </w:t>
            </w:r>
            <w:r w:rsidR="00EB69BF">
              <w:rPr>
                <w:rFonts w:ascii="Arial" w:hAnsi="Arial" w:cs="Arial"/>
                <w:b/>
                <w:kern w:val="24"/>
              </w:rPr>
              <w:t>using counting</w:t>
            </w:r>
            <w:r w:rsidR="000E7538">
              <w:rPr>
                <w:rFonts w:ascii="Arial" w:hAnsi="Arial" w:cs="Arial"/>
                <w:b/>
                <w:kern w:val="24"/>
              </w:rPr>
              <w:t xml:space="preserve"> and matching, with sensory/</w:t>
            </w:r>
            <w:r w:rsidR="00EB69BF">
              <w:rPr>
                <w:rFonts w:ascii="Arial" w:hAnsi="Arial" w:cs="Arial"/>
                <w:b/>
                <w:kern w:val="24"/>
              </w:rPr>
              <w:t xml:space="preserve">graphic </w:t>
            </w:r>
            <w:r w:rsidR="00FC44ED">
              <w:rPr>
                <w:rFonts w:ascii="Arial" w:hAnsi="Arial" w:cs="Arial"/>
                <w:b/>
                <w:kern w:val="24"/>
              </w:rPr>
              <w:t xml:space="preserve">supports.  </w:t>
            </w:r>
          </w:p>
        </w:tc>
      </w:tr>
      <w:tr w:rsidR="00966D3E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FC44E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FC44ED">
              <w:rPr>
                <w:rFonts w:ascii="Arial" w:hAnsi="Arial" w:cs="Arial"/>
                <w:b/>
              </w:rPr>
              <w:t>LISTENING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5B3449" w:rsidP="001861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a one-step direction</w:t>
            </w:r>
            <w:r w:rsidR="00C256FD">
              <w:rPr>
                <w:rFonts w:ascii="Arial" w:hAnsi="Arial" w:cs="Arial"/>
              </w:rPr>
              <w:t>, with picture supports, distinguish between more and less quantities, using graphic organizer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5B3449" w:rsidP="001861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Given two-step directions, given one at a time, with picture supports, </w:t>
            </w:r>
            <w:r w:rsidR="00C256FD">
              <w:rPr>
                <w:rFonts w:ascii="Arial" w:hAnsi="Arial" w:cs="Arial"/>
              </w:rPr>
              <w:t>distinguish between more and less quantities, using graphic organizer</w:t>
            </w:r>
            <w:r w:rsidR="001861FD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5B3449" w:rsidP="001861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Given two-step directions with picture supports, </w:t>
            </w:r>
            <w:r w:rsidR="00C256FD">
              <w:rPr>
                <w:rFonts w:ascii="Arial" w:hAnsi="Arial" w:cs="Arial"/>
              </w:rPr>
              <w:t>distinguish between more and less quantities, using graphic organize</w:t>
            </w:r>
            <w:r w:rsidR="001861FD">
              <w:rPr>
                <w:rFonts w:ascii="Arial" w:hAnsi="Arial" w:cs="Arial"/>
              </w:rPr>
              <w:t>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A44740" w:rsidP="001861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Given multi-step oral directions with picture supports, distinguish between more and less quantities, using graphic organizer </w:t>
            </w:r>
            <w:r w:rsidR="001861FD"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1A4950" w:rsidP="001861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Given </w:t>
            </w:r>
            <w:r w:rsidR="00A44740">
              <w:rPr>
                <w:rFonts w:ascii="Arial" w:hAnsi="Arial" w:cs="Arial"/>
              </w:rPr>
              <w:t xml:space="preserve">multi-step </w:t>
            </w:r>
            <w:r>
              <w:rPr>
                <w:rFonts w:ascii="Arial" w:hAnsi="Arial" w:cs="Arial"/>
              </w:rPr>
              <w:t>oral directions, distinguish between more</w:t>
            </w:r>
            <w:r w:rsidR="00A44740">
              <w:rPr>
                <w:rFonts w:ascii="Arial" w:hAnsi="Arial" w:cs="Arial"/>
              </w:rPr>
              <w:t xml:space="preserve"> and less quan</w:t>
            </w:r>
            <w:r w:rsidR="001861FD">
              <w:rPr>
                <w:rFonts w:ascii="Arial" w:hAnsi="Arial" w:cs="Arial"/>
              </w:rPr>
              <w:t>tities, using graphic organizer.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>
        <w:trPr>
          <w:cantSplit/>
          <w:trHeight w:val="49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0E753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F55207">
              <w:rPr>
                <w:rFonts w:ascii="Arial" w:hAnsi="Arial" w:cs="Arial"/>
                <w:b/>
                <w:kern w:val="24"/>
              </w:rPr>
              <w:t xml:space="preserve">more, less, </w:t>
            </w:r>
            <w:r w:rsidR="001A4950">
              <w:rPr>
                <w:rFonts w:ascii="Arial" w:hAnsi="Arial" w:cs="Arial"/>
                <w:b/>
                <w:kern w:val="24"/>
              </w:rPr>
              <w:t xml:space="preserve">fewer, </w:t>
            </w:r>
            <w:r w:rsidR="00F55207">
              <w:rPr>
                <w:rFonts w:ascii="Arial" w:hAnsi="Arial" w:cs="Arial"/>
                <w:b/>
                <w:kern w:val="24"/>
              </w:rPr>
              <w:t>compare, bigger, smaller</w:t>
            </w:r>
          </w:p>
        </w:tc>
      </w:tr>
    </w:tbl>
    <w:p w:rsidR="001861FD" w:rsidRDefault="001861FD" w:rsidP="00146FB8">
      <w:pPr>
        <w:rPr>
          <w:sz w:val="28"/>
          <w:szCs w:val="28"/>
        </w:rPr>
      </w:pPr>
    </w:p>
    <w:p w:rsidR="001861FD" w:rsidRDefault="001861FD" w:rsidP="00146FB8">
      <w:pPr>
        <w:rPr>
          <w:sz w:val="28"/>
          <w:szCs w:val="28"/>
        </w:rPr>
      </w:pPr>
    </w:p>
    <w:p w:rsidR="00EE2A0E" w:rsidRDefault="00EE2A0E" w:rsidP="00146FB8">
      <w:pPr>
        <w:rPr>
          <w:sz w:val="28"/>
          <w:szCs w:val="28"/>
        </w:rPr>
      </w:pPr>
    </w:p>
    <w:p w:rsidR="00EE2A0E" w:rsidRDefault="00EE2A0E" w:rsidP="00EE2A0E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636" w:rsidRPr="003B4636">
        <w:rPr>
          <w:rFonts w:ascii="Arial" w:hAnsi="Arial" w:cs="Arial"/>
          <w:noProof/>
          <w:sz w:val="28"/>
          <w:szCs w:val="28"/>
        </w:rPr>
        <w:pict>
          <v:shape id="_x0000_s1031" type="#_x0000_t202" style="position:absolute;margin-left:491.2pt;margin-top:7.5pt;width:104.5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>
              <w:txbxContent>
                <w:p w:rsidR="00D0328C" w:rsidRPr="00A607D8" w:rsidRDefault="00D0328C" w:rsidP="00EE2A0E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GRADE: </w:t>
                  </w:r>
                  <w:r>
                    <w:rPr>
                      <w:rFonts w:ascii="Arial" w:hAnsi="Arial" w:cs="Arial"/>
                      <w:b/>
                    </w:rPr>
                    <w:t>K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EE2A0E" w:rsidRDefault="003B4636" w:rsidP="00EE2A0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2" type="#_x0000_t202" style="position:absolute;margin-left:-7.4pt;margin-top:21.7pt;width:690pt;height:5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D0328C" w:rsidRDefault="00D0328C" w:rsidP="00EE2A0E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>ELD STANDARD:</w:t>
                  </w:r>
                  <w:r>
                    <w:rPr>
                      <w:rFonts w:ascii="Arial" w:hAnsi="Arial" w:cs="Arial"/>
                      <w:b/>
                    </w:rPr>
                    <w:t xml:space="preserve"> LANGUAGE OF MATHEMATICS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D0328C" w:rsidRPr="00A607D8" w:rsidRDefault="00D0328C" w:rsidP="00EE2A0E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EXAMPLE TOPIC: COMPARING</w:t>
                  </w:r>
                </w:p>
              </w:txbxContent>
            </v:textbox>
          </v:shape>
        </w:pict>
      </w:r>
    </w:p>
    <w:p w:rsidR="00EE2A0E" w:rsidRDefault="00EE2A0E" w:rsidP="00EE2A0E">
      <w:pPr>
        <w:spacing w:before="240"/>
        <w:rPr>
          <w:rFonts w:ascii="Arial" w:hAnsi="Arial" w:cs="Arial"/>
          <w:b/>
        </w:rPr>
      </w:pPr>
    </w:p>
    <w:p w:rsidR="00EE2A0E" w:rsidRDefault="00EE2A0E" w:rsidP="00EE2A0E">
      <w:pPr>
        <w:spacing w:before="240"/>
        <w:rPr>
          <w:rFonts w:ascii="Arial" w:hAnsi="Arial" w:cs="Arial"/>
          <w:b/>
        </w:rPr>
      </w:pPr>
    </w:p>
    <w:p w:rsidR="00EE2A0E" w:rsidRPr="000E7538" w:rsidRDefault="00EE2A0E" w:rsidP="00EE2A0E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0E7538" w:rsidRPr="000E7538">
        <w:rPr>
          <w:rFonts w:ascii="Arial" w:hAnsi="Arial" w:cs="Arial"/>
          <w:b/>
        </w:rPr>
        <w:t xml:space="preserve"> </w:t>
      </w:r>
      <w:r w:rsidR="000E7538">
        <w:rPr>
          <w:rFonts w:ascii="Arial" w:hAnsi="Arial" w:cs="Arial"/>
          <w:b/>
        </w:rPr>
        <w:t>CCSS.Math.Content.K.CC.C.6</w:t>
      </w:r>
    </w:p>
    <w:p w:rsidR="00EE2A0E" w:rsidRPr="000E7538" w:rsidRDefault="00EE2A0E" w:rsidP="000E7538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0E7538">
        <w:rPr>
          <w:rFonts w:ascii="Arial" w:hAnsi="Arial"/>
        </w:rPr>
        <w:t>Small Group—Grab and Count Compare</w:t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EE2A0E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0E7538">
              <w:rPr>
                <w:rFonts w:ascii="Arial" w:hAnsi="Arial" w:cs="Arial"/>
                <w:b/>
                <w:kern w:val="24"/>
              </w:rPr>
              <w:t>Analyze different quantities as more or less, using counting and matching, with sensory/graphic supports.</w:t>
            </w:r>
          </w:p>
          <w:p w:rsidR="00EE2A0E" w:rsidRPr="00A607D8" w:rsidRDefault="00EE2A0E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EE2A0E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EE2A0E" w:rsidRPr="00A607D8" w:rsidRDefault="00EE2A0E" w:rsidP="001A495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 w:rsidR="001A4950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EE2A0E" w:rsidRPr="00A607D8" w:rsidRDefault="00EE2A0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EE2A0E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Default="00EE2A0E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6C639B" w:rsidRDefault="008306A1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two quantities orally or by pointing, given a choice of vocab words to use and picture supports</w:t>
            </w:r>
          </w:p>
          <w:p w:rsidR="00EE2A0E" w:rsidRPr="009455B9" w:rsidRDefault="006C639B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(Points, “Here,” “</w:t>
            </w:r>
            <w:r w:rsidR="00776975">
              <w:rPr>
                <w:rFonts w:ascii="Arial" w:hAnsi="Arial" w:cs="Arial"/>
              </w:rPr>
              <w:t>This,” or somehow orally distinguishes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07865" w:rsidRDefault="008306A1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Compare two quantities orally </w:t>
            </w:r>
            <w:r w:rsidR="00B24AFE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>single words, given a choice of vocab words to use and picture supports</w:t>
            </w:r>
          </w:p>
          <w:p w:rsidR="00EE2A0E" w:rsidRPr="009455B9" w:rsidRDefault="006C639B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(“More”)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639B" w:rsidRDefault="008306A1" w:rsidP="008306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two quantities orally, with some detail, using a sentence frame (This is ___)</w:t>
            </w:r>
          </w:p>
          <w:p w:rsidR="00EE2A0E" w:rsidRPr="009455B9" w:rsidRDefault="006C639B" w:rsidP="00B24AF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(“This is more.”)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639B" w:rsidRDefault="00B24AFE" w:rsidP="008306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two quantities orally</w:t>
            </w:r>
            <w:r w:rsidR="008306A1">
              <w:rPr>
                <w:rFonts w:ascii="Arial" w:hAnsi="Arial" w:cs="Arial"/>
              </w:rPr>
              <w:t>, with some detail</w:t>
            </w:r>
            <w:r>
              <w:rPr>
                <w:rFonts w:ascii="Arial" w:hAnsi="Arial" w:cs="Arial"/>
              </w:rPr>
              <w:t xml:space="preserve"> </w:t>
            </w:r>
          </w:p>
          <w:p w:rsidR="00EE2A0E" w:rsidRPr="009455B9" w:rsidRDefault="006C639B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(“Six is more.”)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639B" w:rsidRDefault="001A4950" w:rsidP="000E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two quantities orally</w:t>
            </w:r>
            <w:r w:rsidR="000E7538">
              <w:rPr>
                <w:rFonts w:ascii="Arial" w:hAnsi="Arial" w:cs="Arial"/>
              </w:rPr>
              <w:t>.</w:t>
            </w:r>
          </w:p>
          <w:p w:rsidR="00EE2A0E" w:rsidRPr="009455B9" w:rsidRDefault="006C639B" w:rsidP="000E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(“Six is bigger because it comes after four when you count.”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Default="00EE2A0E" w:rsidP="006606BF">
            <w:pPr>
              <w:spacing w:after="0"/>
              <w:jc w:val="center"/>
            </w:pPr>
          </w:p>
        </w:tc>
      </w:tr>
      <w:tr w:rsidR="00EE2A0E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="000E7538">
              <w:rPr>
                <w:rFonts w:ascii="Arial" w:hAnsi="Arial" w:cs="Arial"/>
                <w:b/>
                <w:kern w:val="24"/>
              </w:rPr>
              <w:t>more, less, fewer, compare, bigger, smaller</w:t>
            </w:r>
          </w:p>
          <w:p w:rsidR="00EE2A0E" w:rsidRDefault="00EE2A0E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EE2A0E" w:rsidRDefault="00EE2A0E" w:rsidP="001E37D5">
            <w:pPr>
              <w:spacing w:after="0"/>
            </w:pPr>
          </w:p>
        </w:tc>
      </w:tr>
    </w:tbl>
    <w:p w:rsidR="00507865" w:rsidRDefault="00507865" w:rsidP="00EE2A0E">
      <w:pPr>
        <w:rPr>
          <w:sz w:val="28"/>
          <w:szCs w:val="28"/>
        </w:rPr>
      </w:pPr>
    </w:p>
    <w:p w:rsidR="00507865" w:rsidRDefault="00507865" w:rsidP="00EE2A0E">
      <w:pPr>
        <w:rPr>
          <w:sz w:val="28"/>
          <w:szCs w:val="28"/>
        </w:rPr>
      </w:pPr>
    </w:p>
    <w:p w:rsidR="00EE2A0E" w:rsidRDefault="00EE2A0E" w:rsidP="00EE2A0E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636" w:rsidRPr="003B4636">
        <w:rPr>
          <w:rFonts w:ascii="Arial" w:hAnsi="Arial" w:cs="Arial"/>
          <w:noProof/>
          <w:sz w:val="28"/>
          <w:szCs w:val="28"/>
        </w:rPr>
        <w:pict>
          <v:shape id="_x0000_s1033" type="#_x0000_t202" style="position:absolute;margin-left:491.2pt;margin-top:7.5pt;width:104.5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>
              <w:txbxContent>
                <w:p w:rsidR="00D0328C" w:rsidRPr="00A607D8" w:rsidRDefault="00D0328C" w:rsidP="00EE2A0E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 K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EE2A0E" w:rsidRDefault="003B4636" w:rsidP="00EE2A0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4" type="#_x0000_t202" style="position:absolute;margin-left:-7.4pt;margin-top:12.7pt;width:690pt;height:35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D0328C" w:rsidRPr="00A607D8" w:rsidRDefault="00D0328C" w:rsidP="00EE2A0E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 xml:space="preserve">LANGUAGE OF MATHEMATICS                       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EXAMPLE TOPIC:  </w:t>
                  </w:r>
                  <w:r>
                    <w:rPr>
                      <w:rFonts w:ascii="Arial" w:hAnsi="Arial" w:cs="Arial"/>
                      <w:b/>
                    </w:rPr>
                    <w:t>COMPARING</w:t>
                  </w:r>
                </w:p>
              </w:txbxContent>
            </v:textbox>
          </v:shape>
        </w:pict>
      </w:r>
    </w:p>
    <w:p w:rsidR="00EE2A0E" w:rsidRDefault="00EE2A0E" w:rsidP="00EE2A0E">
      <w:pPr>
        <w:spacing w:before="240"/>
        <w:rPr>
          <w:rFonts w:ascii="Arial" w:hAnsi="Arial" w:cs="Arial"/>
          <w:b/>
        </w:rPr>
      </w:pPr>
    </w:p>
    <w:p w:rsidR="00EE2A0E" w:rsidRPr="00F72407" w:rsidRDefault="00EE2A0E" w:rsidP="00EE2A0E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F72407" w:rsidRPr="00F72407">
        <w:rPr>
          <w:rFonts w:ascii="Arial" w:hAnsi="Arial" w:cs="Arial"/>
          <w:b/>
        </w:rPr>
        <w:t xml:space="preserve"> </w:t>
      </w:r>
      <w:r w:rsidR="00F72407">
        <w:rPr>
          <w:rFonts w:ascii="Arial" w:hAnsi="Arial" w:cs="Arial"/>
          <w:b/>
        </w:rPr>
        <w:t>CCSS.Math.Content.K.CC.C.6</w:t>
      </w:r>
    </w:p>
    <w:p w:rsidR="00EE2A0E" w:rsidRPr="00C41249" w:rsidRDefault="00EE2A0E" w:rsidP="00C41249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F72407">
        <w:rPr>
          <w:rFonts w:ascii="Arial" w:hAnsi="Arial"/>
        </w:rPr>
        <w:t>Small Group—Grab and Count Compare</w:t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EE2A0E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F72407">
              <w:rPr>
                <w:rFonts w:ascii="Arial" w:hAnsi="Arial" w:cs="Arial"/>
                <w:b/>
                <w:kern w:val="24"/>
              </w:rPr>
              <w:t>Analyze different quantities as more or less, using counting and matching, with sensory/graphic supports.</w:t>
            </w:r>
          </w:p>
          <w:p w:rsidR="00EE2A0E" w:rsidRPr="00A607D8" w:rsidRDefault="00EE2A0E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EE2A0E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EE2A0E" w:rsidRPr="00A607D8" w:rsidRDefault="00EE2A0E" w:rsidP="00F7240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 w:rsidR="00F72407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EE2A0E" w:rsidRPr="00A607D8" w:rsidRDefault="00EE2A0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EE2A0E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Default="00EE2A0E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EE2A0E" w:rsidRPr="009455B9" w:rsidRDefault="00E97A42" w:rsidP="00E97A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 mark (circle, color in) to show which quantity is more.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97A42" w:rsidRDefault="00E97A42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Trace number to show which quantity is more.  </w:t>
            </w:r>
          </w:p>
          <w:p w:rsidR="00E97A42" w:rsidRDefault="00E97A42" w:rsidP="005715BC">
            <w:pPr>
              <w:spacing w:after="0"/>
              <w:rPr>
                <w:rFonts w:ascii="Arial" w:hAnsi="Arial" w:cs="Arial"/>
              </w:rPr>
            </w:pPr>
          </w:p>
          <w:p w:rsidR="00EE2A0E" w:rsidRPr="009455B9" w:rsidRDefault="00EE2A0E" w:rsidP="00B502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97A42" w:rsidRDefault="00E97A42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number to show which quantity is more.  </w:t>
            </w:r>
          </w:p>
          <w:p w:rsidR="00E97A42" w:rsidRDefault="00E97A42" w:rsidP="005715BC">
            <w:pPr>
              <w:spacing w:after="0"/>
              <w:rPr>
                <w:rFonts w:ascii="Arial" w:hAnsi="Arial" w:cs="Arial"/>
              </w:rPr>
            </w:pPr>
          </w:p>
          <w:p w:rsidR="00EE2A0E" w:rsidRPr="009455B9" w:rsidRDefault="00C41249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97A42" w:rsidRDefault="00E97A42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number to show which quantity is more.  </w:t>
            </w:r>
          </w:p>
          <w:p w:rsidR="00E97A42" w:rsidRDefault="00E97A42" w:rsidP="005715BC">
            <w:pPr>
              <w:spacing w:after="0"/>
              <w:rPr>
                <w:rFonts w:ascii="Arial" w:hAnsi="Arial" w:cs="Arial"/>
              </w:rPr>
            </w:pPr>
          </w:p>
          <w:p w:rsidR="00EE2A0E" w:rsidRPr="009455B9" w:rsidRDefault="00EE2A0E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97A42" w:rsidRDefault="00E97A42" w:rsidP="00D032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number and number word to show which quantity is more.  </w:t>
            </w:r>
          </w:p>
          <w:p w:rsidR="00E97A42" w:rsidRDefault="00E97A42" w:rsidP="00D0328C">
            <w:pPr>
              <w:spacing w:after="0"/>
              <w:rPr>
                <w:rFonts w:ascii="Arial" w:hAnsi="Arial" w:cs="Arial"/>
              </w:rPr>
            </w:pPr>
          </w:p>
          <w:p w:rsidR="00EE2A0E" w:rsidRPr="009455B9" w:rsidRDefault="00EE2A0E" w:rsidP="00D032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Default="00EE2A0E" w:rsidP="006606BF">
            <w:pPr>
              <w:spacing w:after="0"/>
              <w:jc w:val="center"/>
            </w:pPr>
          </w:p>
        </w:tc>
      </w:tr>
      <w:tr w:rsidR="00EE2A0E">
        <w:trPr>
          <w:cantSplit/>
          <w:trHeight w:val="58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B50257" w:rsidRDefault="00EE2A0E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="00F72407">
              <w:rPr>
                <w:rFonts w:ascii="Arial" w:hAnsi="Arial" w:cs="Arial"/>
                <w:b/>
                <w:kern w:val="24"/>
              </w:rPr>
              <w:t>more, less, fewer, compare, bigger, smaller</w:t>
            </w:r>
          </w:p>
        </w:tc>
      </w:tr>
    </w:tbl>
    <w:p w:rsidR="00576821" w:rsidRDefault="00576821" w:rsidP="00EE2A0E">
      <w:pPr>
        <w:rPr>
          <w:sz w:val="28"/>
          <w:szCs w:val="28"/>
        </w:rPr>
      </w:pPr>
    </w:p>
    <w:p w:rsidR="00576821" w:rsidRDefault="00576821" w:rsidP="00EE2A0E">
      <w:pPr>
        <w:rPr>
          <w:sz w:val="28"/>
          <w:szCs w:val="28"/>
        </w:rPr>
      </w:pPr>
    </w:p>
    <w:p w:rsidR="00EE2A0E" w:rsidRPr="00256035" w:rsidRDefault="00EE2A0E" w:rsidP="00EE2A0E">
      <w:pPr>
        <w:rPr>
          <w:sz w:val="28"/>
          <w:szCs w:val="28"/>
        </w:rPr>
      </w:pPr>
    </w:p>
    <w:p w:rsidR="00EE2A0E" w:rsidRDefault="00EE2A0E" w:rsidP="00EE2A0E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636" w:rsidRPr="003B4636">
        <w:rPr>
          <w:rFonts w:ascii="Arial" w:hAnsi="Arial" w:cs="Arial"/>
          <w:noProof/>
          <w:sz w:val="28"/>
          <w:szCs w:val="28"/>
        </w:rPr>
        <w:pict>
          <v:shape id="_x0000_s1035" type="#_x0000_t202" style="position:absolute;margin-left:491.2pt;margin-top:7.5pt;width:104.5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>
              <w:txbxContent>
                <w:p w:rsidR="00D0328C" w:rsidRPr="00A607D8" w:rsidRDefault="00D0328C" w:rsidP="00EE2A0E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 _K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EE2A0E" w:rsidRDefault="003B4636" w:rsidP="00EE2A0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6" type="#_x0000_t202" style="position:absolute;margin-left:-6.75pt;margin-top:18pt;width:690pt;height:32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D0328C" w:rsidRPr="00A607D8" w:rsidRDefault="00D0328C" w:rsidP="00EE2A0E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ELD STANDARD: LANGUAGE OF MATHEMATIC      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EXAMPLE TOPIC:   </w:t>
                  </w:r>
                  <w:r>
                    <w:rPr>
                      <w:rFonts w:ascii="Arial" w:hAnsi="Arial" w:cs="Arial"/>
                      <w:b/>
                    </w:rPr>
                    <w:t>COMPARING</w:t>
                  </w:r>
                </w:p>
              </w:txbxContent>
            </v:textbox>
          </v:shape>
        </w:pict>
      </w:r>
    </w:p>
    <w:p w:rsidR="00EE2A0E" w:rsidRDefault="00EE2A0E" w:rsidP="00EE2A0E">
      <w:pPr>
        <w:spacing w:before="240"/>
        <w:rPr>
          <w:rFonts w:ascii="Arial" w:hAnsi="Arial" w:cs="Arial"/>
          <w:b/>
        </w:rPr>
      </w:pPr>
    </w:p>
    <w:p w:rsidR="00EE2A0E" w:rsidRPr="00160408" w:rsidRDefault="00EE2A0E" w:rsidP="00EE2A0E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160408" w:rsidRPr="00160408">
        <w:rPr>
          <w:rFonts w:ascii="Arial" w:hAnsi="Arial" w:cs="Arial"/>
          <w:b/>
        </w:rPr>
        <w:t xml:space="preserve"> </w:t>
      </w:r>
      <w:r w:rsidR="00160408">
        <w:rPr>
          <w:rFonts w:ascii="Arial" w:hAnsi="Arial" w:cs="Arial"/>
          <w:b/>
        </w:rPr>
        <w:t>CCSS.Math.Content.K.CC.C.7 (Compare two written numerals, 1-10)</w:t>
      </w:r>
    </w:p>
    <w:p w:rsidR="00EE2A0E" w:rsidRPr="00160408" w:rsidRDefault="00EE2A0E" w:rsidP="00160408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160408">
        <w:rPr>
          <w:rFonts w:ascii="Arial" w:hAnsi="Arial"/>
        </w:rPr>
        <w:t>Game of Compare</w:t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EE2A0E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160408">
              <w:rPr>
                <w:rFonts w:ascii="Arial" w:hAnsi="Arial" w:cs="Arial"/>
                <w:b/>
                <w:kern w:val="24"/>
              </w:rPr>
              <w:t xml:space="preserve">Analyze </w:t>
            </w:r>
            <w:r w:rsidR="00596697">
              <w:rPr>
                <w:rFonts w:ascii="Arial" w:hAnsi="Arial" w:cs="Arial"/>
                <w:b/>
                <w:kern w:val="24"/>
              </w:rPr>
              <w:t>mathematical representations (numerals, words, pictures)</w:t>
            </w:r>
            <w:r w:rsidR="00160408">
              <w:rPr>
                <w:rFonts w:ascii="Arial" w:hAnsi="Arial" w:cs="Arial"/>
                <w:b/>
                <w:kern w:val="24"/>
              </w:rPr>
              <w:t xml:space="preserve"> as more or less, with sensory/graphic supports.</w:t>
            </w:r>
          </w:p>
        </w:tc>
      </w:tr>
      <w:tr w:rsidR="00EE2A0E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EE2A0E" w:rsidRPr="00A607D8" w:rsidRDefault="00EE2A0E" w:rsidP="0016040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 w:rsidR="00160408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EE2A0E" w:rsidRPr="00A607D8" w:rsidRDefault="00EE2A0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EE2A0E" w:rsidRPr="00A607D8" w:rsidRDefault="00EE2A0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EE2A0E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Default="00EE2A0E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EE2A0E" w:rsidRPr="009455B9" w:rsidRDefault="008F0F36" w:rsidP="00CC56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which card is more by counting (using manipulatives or pictures on card) and with modeling, then place cards under appropriate pictures. In small group.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A0E" w:rsidRPr="009455B9" w:rsidRDefault="008F0F36" w:rsidP="00CC56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which card is more by reading the numerals or counting (using manipulatives or pictures on card), then place cards under </w:t>
            </w:r>
            <w:r w:rsidR="00CC565E">
              <w:rPr>
                <w:rFonts w:ascii="Arial" w:hAnsi="Arial" w:cs="Arial"/>
              </w:rPr>
              <w:t>“more”/”less”</w:t>
            </w:r>
            <w:r>
              <w:rPr>
                <w:rFonts w:ascii="Arial" w:hAnsi="Arial" w:cs="Arial"/>
              </w:rPr>
              <w:t xml:space="preserve"> pictures. In small group.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A0E" w:rsidRPr="009455B9" w:rsidRDefault="008F0F36" w:rsidP="00CC56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which card is more by recognizing and reading the numerals, then place cards under appropriate pictures</w:t>
            </w:r>
            <w:r w:rsidR="00CC565E">
              <w:rPr>
                <w:rFonts w:ascii="Arial" w:hAnsi="Arial" w:cs="Arial"/>
              </w:rPr>
              <w:t xml:space="preserve"> of “more”/”less”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A0E" w:rsidRPr="009455B9" w:rsidRDefault="002D61FC" w:rsidP="00CC56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which card is more by recognizing and reading the numerals, then place cards under appropriate </w:t>
            </w:r>
            <w:r w:rsidR="00CC565E">
              <w:rPr>
                <w:rFonts w:ascii="Arial" w:hAnsi="Arial" w:cs="Arial"/>
              </w:rPr>
              <w:t xml:space="preserve">“more”/”less” </w:t>
            </w:r>
            <w:r>
              <w:rPr>
                <w:rFonts w:ascii="Arial" w:hAnsi="Arial" w:cs="Arial"/>
              </w:rPr>
              <w:t xml:space="preserve">pictures.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A0E" w:rsidRPr="009455B9" w:rsidRDefault="000C39CE" w:rsidP="00CC56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which card is more by recognizing and reading the numerals</w:t>
            </w:r>
            <w:r w:rsidR="002D61FC">
              <w:rPr>
                <w:rFonts w:ascii="Arial" w:hAnsi="Arial" w:cs="Arial"/>
              </w:rPr>
              <w:t xml:space="preserve">, then place cards under </w:t>
            </w:r>
            <w:r w:rsidR="00CC565E">
              <w:rPr>
                <w:rFonts w:ascii="Arial" w:hAnsi="Arial" w:cs="Arial"/>
              </w:rPr>
              <w:t xml:space="preserve">“more”/”less” </w:t>
            </w:r>
            <w:r w:rsidR="002D61FC">
              <w:rPr>
                <w:rFonts w:ascii="Arial" w:hAnsi="Arial" w:cs="Arial"/>
              </w:rPr>
              <w:t>label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Default="00EE2A0E" w:rsidP="006606BF">
            <w:pPr>
              <w:spacing w:after="0"/>
              <w:jc w:val="center"/>
            </w:pPr>
          </w:p>
        </w:tc>
      </w:tr>
      <w:tr w:rsidR="00EE2A0E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A0E" w:rsidRPr="00A607D8" w:rsidRDefault="00EE2A0E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="00160408">
              <w:rPr>
                <w:rFonts w:ascii="Arial" w:hAnsi="Arial" w:cs="Arial"/>
                <w:b/>
                <w:kern w:val="24"/>
              </w:rPr>
              <w:t>more, less, fewer, compare, bigger, smaller</w:t>
            </w:r>
          </w:p>
          <w:p w:rsidR="00EE2A0E" w:rsidRDefault="00EE2A0E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EE2A0E" w:rsidRDefault="00EE2A0E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8C" w:rsidRDefault="00D0328C" w:rsidP="00721866">
      <w:pPr>
        <w:spacing w:after="0" w:line="240" w:lineRule="auto"/>
      </w:pPr>
      <w:r>
        <w:separator/>
      </w:r>
    </w:p>
  </w:endnote>
  <w:endnote w:type="continuationSeparator" w:id="0">
    <w:p w:rsidR="00D0328C" w:rsidRDefault="00D0328C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8C" w:rsidRDefault="00D0328C" w:rsidP="00721866">
      <w:pPr>
        <w:spacing w:after="0" w:line="240" w:lineRule="auto"/>
      </w:pPr>
      <w:r>
        <w:separator/>
      </w:r>
    </w:p>
  </w:footnote>
  <w:footnote w:type="continuationSeparator" w:id="0">
    <w:p w:rsidR="00D0328C" w:rsidRDefault="00D0328C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B011D"/>
    <w:rsid w:val="000132FD"/>
    <w:rsid w:val="00027078"/>
    <w:rsid w:val="00052BDE"/>
    <w:rsid w:val="00084B27"/>
    <w:rsid w:val="000A5729"/>
    <w:rsid w:val="000C39CE"/>
    <w:rsid w:val="000D3DFB"/>
    <w:rsid w:val="000D5DBF"/>
    <w:rsid w:val="000E3BC7"/>
    <w:rsid w:val="000E7538"/>
    <w:rsid w:val="001034BA"/>
    <w:rsid w:val="00106CF1"/>
    <w:rsid w:val="00146FB8"/>
    <w:rsid w:val="00154083"/>
    <w:rsid w:val="00154A8C"/>
    <w:rsid w:val="00160408"/>
    <w:rsid w:val="001772FA"/>
    <w:rsid w:val="001861FD"/>
    <w:rsid w:val="0019560B"/>
    <w:rsid w:val="001A4950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C5E43"/>
    <w:rsid w:val="002D446C"/>
    <w:rsid w:val="002D61F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671EB"/>
    <w:rsid w:val="00374727"/>
    <w:rsid w:val="003B4636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07865"/>
    <w:rsid w:val="00517545"/>
    <w:rsid w:val="005715BC"/>
    <w:rsid w:val="00576821"/>
    <w:rsid w:val="00596697"/>
    <w:rsid w:val="005A2515"/>
    <w:rsid w:val="005A7833"/>
    <w:rsid w:val="005B3449"/>
    <w:rsid w:val="005D1034"/>
    <w:rsid w:val="005D310D"/>
    <w:rsid w:val="005F5B35"/>
    <w:rsid w:val="006328F7"/>
    <w:rsid w:val="006606BF"/>
    <w:rsid w:val="006752E2"/>
    <w:rsid w:val="0069093A"/>
    <w:rsid w:val="006C151F"/>
    <w:rsid w:val="006C639B"/>
    <w:rsid w:val="007016E4"/>
    <w:rsid w:val="00712A96"/>
    <w:rsid w:val="00721866"/>
    <w:rsid w:val="007240C8"/>
    <w:rsid w:val="00732AA3"/>
    <w:rsid w:val="007434CD"/>
    <w:rsid w:val="007510F8"/>
    <w:rsid w:val="00776975"/>
    <w:rsid w:val="007B1DEC"/>
    <w:rsid w:val="007B2F82"/>
    <w:rsid w:val="007B664A"/>
    <w:rsid w:val="007C01B4"/>
    <w:rsid w:val="007D1406"/>
    <w:rsid w:val="007E1BD1"/>
    <w:rsid w:val="00810B42"/>
    <w:rsid w:val="00816249"/>
    <w:rsid w:val="008306A1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0F36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44740"/>
    <w:rsid w:val="00A607D8"/>
    <w:rsid w:val="00A61848"/>
    <w:rsid w:val="00A71E34"/>
    <w:rsid w:val="00A76A97"/>
    <w:rsid w:val="00AC1E6C"/>
    <w:rsid w:val="00AC5A0D"/>
    <w:rsid w:val="00B24AFE"/>
    <w:rsid w:val="00B50257"/>
    <w:rsid w:val="00B72400"/>
    <w:rsid w:val="00BA5211"/>
    <w:rsid w:val="00BB011D"/>
    <w:rsid w:val="00BC38E9"/>
    <w:rsid w:val="00BC4485"/>
    <w:rsid w:val="00C00DB0"/>
    <w:rsid w:val="00C1007E"/>
    <w:rsid w:val="00C21017"/>
    <w:rsid w:val="00C256FD"/>
    <w:rsid w:val="00C41249"/>
    <w:rsid w:val="00C67C2D"/>
    <w:rsid w:val="00C81255"/>
    <w:rsid w:val="00CA1081"/>
    <w:rsid w:val="00CA1A68"/>
    <w:rsid w:val="00CA5878"/>
    <w:rsid w:val="00CB3356"/>
    <w:rsid w:val="00CC565E"/>
    <w:rsid w:val="00CC7A38"/>
    <w:rsid w:val="00CE1449"/>
    <w:rsid w:val="00CF71EE"/>
    <w:rsid w:val="00D0328C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41F9E"/>
    <w:rsid w:val="00E55C5F"/>
    <w:rsid w:val="00E61441"/>
    <w:rsid w:val="00E74905"/>
    <w:rsid w:val="00E7580F"/>
    <w:rsid w:val="00E76567"/>
    <w:rsid w:val="00E96349"/>
    <w:rsid w:val="00E97A42"/>
    <w:rsid w:val="00EA1B5B"/>
    <w:rsid w:val="00EA26D4"/>
    <w:rsid w:val="00EA50A3"/>
    <w:rsid w:val="00EA5C85"/>
    <w:rsid w:val="00EB5735"/>
    <w:rsid w:val="00EB69BF"/>
    <w:rsid w:val="00ED0DCC"/>
    <w:rsid w:val="00ED71E0"/>
    <w:rsid w:val="00EE2A0E"/>
    <w:rsid w:val="00F164C0"/>
    <w:rsid w:val="00F37C6C"/>
    <w:rsid w:val="00F55207"/>
    <w:rsid w:val="00F72407"/>
    <w:rsid w:val="00F847EC"/>
    <w:rsid w:val="00FB1BC5"/>
    <w:rsid w:val="00FB4805"/>
    <w:rsid w:val="00FC35C0"/>
    <w:rsid w:val="00FC44ED"/>
    <w:rsid w:val="00FC4B34"/>
    <w:rsid w:val="00FD3144"/>
    <w:rsid w:val="00FF11DC"/>
    <w:rsid w:val="00FF3D0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568</Words>
  <Characters>3243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Office 2004 Test Drive User</cp:lastModifiedBy>
  <cp:revision>27</cp:revision>
  <cp:lastPrinted>2012-05-10T22:39:00Z</cp:lastPrinted>
  <dcterms:created xsi:type="dcterms:W3CDTF">2013-08-14T16:13:00Z</dcterms:created>
  <dcterms:modified xsi:type="dcterms:W3CDTF">2013-08-15T14:57:00Z</dcterms:modified>
</cp:coreProperties>
</file>