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1C9" w:rsidRDefault="00BB01C9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B01C9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 1, Quarter 1 Writing Rubric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B01C9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b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b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b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b/>
              </w:rPr>
              <w:t>Genre Specific Language Features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b/>
              </w:rPr>
              <w:t>6</w:t>
            </w:r>
          </w:p>
          <w:p w:rsidR="00BB01C9" w:rsidRDefault="00B00DCF">
            <w:pPr>
              <w:widowControl w:val="0"/>
            </w:pPr>
            <w:r>
              <w:rPr>
                <w:b/>
              </w:rPr>
              <w:t>Reaching</w:t>
            </w:r>
          </w:p>
          <w:p w:rsidR="00BB01C9" w:rsidRDefault="00BB01C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sz w:val="16"/>
                <w:szCs w:val="16"/>
              </w:rPr>
              <w:t>Well-organized extended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text</w:t>
            </w:r>
            <w:proofErr w:type="gramEnd"/>
            <w:r>
              <w:rPr>
                <w:sz w:val="16"/>
                <w:szCs w:val="16"/>
              </w:rPr>
              <w:t>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Consistent use of just the right word in just the right place; precise technical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Has reached comparability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to that of English proficient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peers functioning at the “proficient” level in state-wide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assessments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Correct subject verb agreement used, descriptions provide a variety of detail.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b/>
              </w:rPr>
              <w:t>5</w:t>
            </w:r>
          </w:p>
          <w:p w:rsidR="00BB01C9" w:rsidRDefault="00B00DCF">
            <w:pPr>
              <w:widowControl w:val="0"/>
            </w:pPr>
            <w:r>
              <w:rPr>
                <w:b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Extended text with at least two clear sentences; logical relationship between phrases and sentences is present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"Words" are clearly recognizable; specific and some technical language related to content area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Approaching comparability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to that of English proficient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peers; errors don’t impede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Correct subject verb agreement used most of the time. Descriptions use adjectives to provide additional detail.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b/>
              </w:rPr>
              <w:t>4</w:t>
            </w:r>
          </w:p>
          <w:p w:rsidR="00BB01C9" w:rsidRDefault="00B00DCF">
            <w:pPr>
              <w:widowControl w:val="0"/>
            </w:pPr>
            <w:r>
              <w:rPr>
                <w:b/>
              </w:rPr>
              <w:t>Expanding</w:t>
            </w:r>
          </w:p>
          <w:p w:rsidR="00BB01C9" w:rsidRDefault="00BB01C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Evidence of 2 sentences present (with or without support), sentences must contain 3 words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"Words" are clearly recognizable and contain attempts at beginning, middle and ending sounds (in longer words). Use of specific language (with or without support); lack of needed vocabulary may be evident.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all times, errors don’t impede the overall meaning.; such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Appropriate nouns used for description. Evidence of at least one adjective in description.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b/>
              </w:rPr>
              <w:t>3</w:t>
            </w:r>
          </w:p>
          <w:p w:rsidR="00BB01C9" w:rsidRDefault="00B00DCF">
            <w:pPr>
              <w:widowControl w:val="0"/>
            </w:pPr>
            <w:r>
              <w:rPr>
                <w:b/>
              </w:rPr>
              <w:t>Developing</w:t>
            </w:r>
          </w:p>
          <w:p w:rsidR="00BB01C9" w:rsidRDefault="00BB01C9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  <w:highlight w:val="white"/>
              </w:rPr>
              <w:t xml:space="preserve">Text contains at least </w:t>
            </w:r>
            <w:r>
              <w:rPr>
                <w:b/>
                <w:sz w:val="16"/>
                <w:szCs w:val="16"/>
                <w:highlight w:val="white"/>
              </w:rPr>
              <w:t xml:space="preserve">two </w:t>
            </w:r>
            <w:r>
              <w:rPr>
                <w:sz w:val="16"/>
                <w:szCs w:val="16"/>
                <w:highlight w:val="white"/>
              </w:rPr>
              <w:t>clear examples of a successful attempt at producing an English phrase or short sentence of 2-3 words.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At least one "word" in the phrase or short sentence goes beyond "memorized" </w:t>
            </w:r>
            <w:proofErr w:type="spellStart"/>
            <w:r>
              <w:rPr>
                <w:sz w:val="16"/>
                <w:szCs w:val="16"/>
              </w:rPr>
              <w:t>text."Words</w:t>
            </w:r>
            <w:proofErr w:type="spellEnd"/>
            <w:r>
              <w:rPr>
                <w:sz w:val="16"/>
                <w:szCs w:val="16"/>
              </w:rPr>
              <w:t>" are generally recognizable and contain attempts at beginning, middle and ending sounds (in longer words). Use of general and specific language, lack of needed vocabulary may be evident.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when writing in sentences;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 xml:space="preserve"> may from time to time be impeded by errors when attempting to produce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Appropriate nouns (at least two) used for description.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b/>
              </w:rPr>
              <w:t>2</w:t>
            </w:r>
          </w:p>
          <w:p w:rsidR="00BB01C9" w:rsidRDefault="00B00DCF">
            <w:pPr>
              <w:widowControl w:val="0"/>
            </w:pPr>
            <w:r>
              <w:rPr>
                <w:b/>
              </w:rPr>
              <w:t>Beginning</w:t>
            </w:r>
          </w:p>
          <w:p w:rsidR="00BB01C9" w:rsidRDefault="00BB01C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Two complete phrases with or without support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"Words" are generally recognizable and contain most sounds, although letter sounds may be out of order. Evidence of memorized language may be present.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when text is adapted from model or source text, or when original text is limited to simple text; comprehensibility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may be often impeded by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errors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Describes a place from illustrated examples and models.</w:t>
            </w:r>
          </w:p>
        </w:tc>
      </w:tr>
      <w:tr w:rsidR="00BB01C9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</w:pPr>
            <w:r>
              <w:rPr>
                <w:b/>
              </w:rPr>
              <w:t>1</w:t>
            </w:r>
          </w:p>
          <w:p w:rsidR="00BB01C9" w:rsidRDefault="00B00DCF">
            <w:pPr>
              <w:widowControl w:val="0"/>
            </w:pPr>
            <w:r>
              <w:rPr>
                <w:b/>
              </w:rPr>
              <w:t>Entering</w:t>
            </w:r>
          </w:p>
          <w:p w:rsidR="00BB01C9" w:rsidRDefault="00BB01C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Single words, set phrases or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chunks of simple language;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varying amounts of text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may</w:t>
            </w:r>
            <w:proofErr w:type="gramEnd"/>
            <w:r>
              <w:rPr>
                <w:sz w:val="16"/>
                <w:szCs w:val="16"/>
              </w:rPr>
              <w:t xml:space="preserve"> be copied or adapted; use of first language may be present.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Beginning and ending sounds present, highest frequency vocabulary from schools and content area.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when text is copied or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adapted from model or source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text; comprehensibility may</w:t>
            </w:r>
          </w:p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be significantly impeded in</w:t>
            </w:r>
          </w:p>
          <w:p w:rsidR="00BB01C9" w:rsidRDefault="00B00DCF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original</w:t>
            </w:r>
            <w:proofErr w:type="gramEnd"/>
            <w:r>
              <w:rPr>
                <w:sz w:val="16"/>
                <w:szCs w:val="16"/>
              </w:rPr>
              <w:t xml:space="preserve">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9" w:rsidRDefault="00B00DC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Communicates descriptions through detailed drawings.</w:t>
            </w:r>
          </w:p>
        </w:tc>
      </w:tr>
    </w:tbl>
    <w:p w:rsidR="00BB01C9" w:rsidRDefault="00BB01C9"/>
    <w:p w:rsidR="00BB01C9" w:rsidRDefault="00B00DCF">
      <w:r>
        <w:t xml:space="preserve">Adapted from WIDA </w:t>
      </w:r>
      <w:proofErr w:type="spellStart"/>
      <w:r>
        <w:t>PreK</w:t>
      </w:r>
      <w:proofErr w:type="spellEnd"/>
      <w:r>
        <w:t>-K and Grades 1-12 Writing Rubrics and CAN DO Descriptors</w:t>
      </w:r>
    </w:p>
    <w:p w:rsidR="00BB01C9" w:rsidRDefault="00BB01C9"/>
    <w:p w:rsidR="00BB01C9" w:rsidRDefault="00B00DCF">
      <w:r>
        <w:t>For Levels 5 and 6, refer to the Somerville Writing Continuum for grade level Essential Skills</w:t>
      </w:r>
    </w:p>
    <w:sectPr w:rsidR="00BB01C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01C9"/>
    <w:rsid w:val="000F1565"/>
    <w:rsid w:val="00B00DCF"/>
    <w:rsid w:val="00B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2</cp:revision>
  <dcterms:created xsi:type="dcterms:W3CDTF">2015-10-26T20:23:00Z</dcterms:created>
  <dcterms:modified xsi:type="dcterms:W3CDTF">2015-10-26T20:23:00Z</dcterms:modified>
</cp:coreProperties>
</file>